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淮河干流浮山以下段行洪区调整和建设工程是《淮河干流行蓄洪区调整规划》的重要内容，也是进一步治淮38项工程之一，已列入2020年及后续150项重大水利工程，该工程的建设有利于流域洪水通畅下泄，使得浮山以上段行蓄洪区调整工程的效益能够得以更大程度地发挥，也有利于解决区域防洪问题，促进区域经济社会稳定发展。</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总体布局为：淮河干流浮山以下段河道长74.2km（浮山~龟山），其中浮山~冯进口长14.5km，冯进口以下长59.7km，溧河洼七里沟~临淮头段河道长43.69km。淮河干流浮山以下段行洪区调整和建设工程通过疏浚淮河干流浮山~冯进口段河道、开辟冯铁营引河和拓浚溧河洼七里沟~临淮头段河道，加固潘村洼堤防等工 程措施，使浮山以下段河道泄洪能力达到13000m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/s，溧河洼达20年一遇防洪和3年一遇除涝标准。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主要建设内容为：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（1）淮河干流浮山~冯铁营引河进口段河道疏浚，疏浚长度14.50km。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（2）开辟冯铁营引河，长6.65km；冯铁营引河两岸新建堤防，长6.44km；冯铁营引河进口建闸控制，设计流量5450m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（3）溧河洼浅槽开挖自七里沟~临淮头河道，长37.49km。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（4）加高加固潘村洼行洪区浮山至苏拐站段堤防，长52.46km，对马岗咀~女山湖闸段堤防采取水泥搅拌桩处理方式进行加固，长3.12km；新建封闭堤长0.24km。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（5）潘村洼堤防、冯铁营引河两侧堤防、溧西大堤和泊岗圈堤堤顶铺设防汛道路，长105.33km，修建上堤道路37条。</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（6）新建护坡长38.86km、护岸长14.77km。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（7）新建、拆除重建、加固和封堵各类建筑物25座，其中大型分洪闸1座、小型涵闸9座、中小型排灌泵站8座、桥梁7座。</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default" w:ascii="Times New Roman" w:hAnsi="Times New Roman" w:cs="Times New Roman"/>
          <w:spacing w:val="0"/>
          <w:szCs w:val="20"/>
          <w:highlight w:val="none"/>
        </w:rPr>
        <w:t>项目主要涉及安徽省明光市、江苏省淮安市盱眙县、宿迁市泗洪县。</w:t>
      </w:r>
      <w:bookmarkStart w:id="1" w:name="_GoBack"/>
      <w:bookmarkEnd w:id="1"/>
      <w:r>
        <w:rPr>
          <w:rFonts w:hint="default" w:ascii="Times New Roman" w:hAnsi="Times New Roman" w:cs="Times New Roman"/>
          <w:spacing w:val="0"/>
          <w:szCs w:val="20"/>
          <w:highlight w:val="none"/>
        </w:rPr>
        <w:t>项目估算总投资约76.06亿。</w:t>
      </w: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要求，编制完成淮河干流浮山以下段行洪区调整和建设工程</w:t>
      </w:r>
      <w:r>
        <w:rPr>
          <w:rFonts w:hint="eastAsia" w:ascii="Times New Roman" w:hAnsi="Times New Roman" w:cs="Times New Roman"/>
          <w:spacing w:val="0"/>
          <w:highlight w:val="none"/>
          <w:lang w:val="en-US" w:eastAsia="zh-CN"/>
        </w:rPr>
        <w:t>航道通航条件影响评价</w:t>
      </w:r>
      <w:r>
        <w:rPr>
          <w:rFonts w:hint="eastAsia" w:ascii="Times New Roman" w:hAnsi="Times New Roman" w:eastAsia="宋体" w:cs="Times New Roman"/>
          <w:spacing w:val="0"/>
          <w:highlight w:val="none"/>
          <w:lang w:val="zh-CN" w:eastAsia="zh-CN"/>
        </w:rPr>
        <w:t>报告，参加专家评审会并按评审意见及时修改、完善，2022年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w:t>
      </w:r>
      <w:r>
        <w:rPr>
          <w:rFonts w:hint="eastAsia"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取得淮河干流浮山以下段行洪区调整和建设工程可行性研究报告批复。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3、报告必须符合国家有关的规划、政策、法规规定，内容深度必须达到国家和行业规定的标准，基本内容要完整。</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4、服务单位必须站在客观公正的立场进行调查研究，做好基础资料的收集工作。对于收集的基础资料，要按照客观实际情况进行论证评价，如实地反映客观经济规律，从客观数据出发，通过科学分析，得出结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B38279C"/>
    <w:rsid w:val="10BD696F"/>
    <w:rsid w:val="1E851DDC"/>
    <w:rsid w:val="26867B60"/>
    <w:rsid w:val="279B25A8"/>
    <w:rsid w:val="2C22715E"/>
    <w:rsid w:val="390F16EF"/>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44E005F"/>
    <w:rsid w:val="7ACC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1149</Words>
  <Characters>1287</Characters>
  <Lines>17</Lines>
  <Paragraphs>4</Paragraphs>
  <TotalTime>5170</TotalTime>
  <ScaleCrop>false</ScaleCrop>
  <LinksUpToDate>false</LinksUpToDate>
  <CharactersWithSpaces>1289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2022-06-20T02:33:00Z</cp:lastPrinted>
  <dcterms:modified xsi:type="dcterms:W3CDTF">2022-09-27T08:58:14Z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2052-11.1.0.12358</vt:lpwstr>
  </property>
  <property fmtid="{D5CDD505-2E9C-101B-9397-08002B2CF9AE}" pid="6" name="ICV">
    <vt:lpwstr>527ED0BE15C74FF7B5115EFDAA8E8CFD</vt:lpwstr>
  </property>
</Properties>
</file>